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94A410">
      <w:pPr>
        <w:spacing w:line="360" w:lineRule="auto"/>
        <w:jc w:val="center"/>
        <w:rPr>
          <w:rFonts w:hint="default" w:ascii="Times New Roman" w:hAnsi="Times New Roman" w:eastAsia="方正小标宋_GBK" w:cs="Times New Roman"/>
          <w:color w:val="000000" w:themeColor="text1"/>
          <w:sz w:val="44"/>
          <w:szCs w:val="44"/>
          <w:highlight w:val="none"/>
          <w14:textFill>
            <w14:solidFill>
              <w14:schemeClr w14:val="tx1"/>
            </w14:solidFill>
          </w14:textFill>
        </w:rPr>
      </w:pPr>
      <w:r>
        <w:rPr>
          <w:rFonts w:hint="default" w:ascii="Times New Roman" w:hAnsi="Times New Roman" w:eastAsia="方正小标宋_GBK" w:cs="Times New Roman"/>
          <w:color w:val="000000" w:themeColor="text1"/>
          <w:sz w:val="44"/>
          <w:szCs w:val="44"/>
          <w:highlight w:val="none"/>
          <w14:textFill>
            <w14:solidFill>
              <w14:schemeClr w14:val="tx1"/>
            </w14:solidFill>
          </w14:textFill>
        </w:rPr>
        <w:t>淮安市计量监督管理办法（草案）</w:t>
      </w:r>
    </w:p>
    <w:p w14:paraId="66D38D91">
      <w:pPr>
        <w:spacing w:line="560" w:lineRule="exact"/>
        <w:jc w:val="center"/>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公开征求意见稿</w:t>
      </w:r>
      <w:r>
        <w:rPr>
          <w:rFonts w:hint="eastAsia" w:ascii="方正楷体_GBK" w:hAnsi="方正楷体_GBK" w:eastAsia="方正楷体_GBK" w:cs="方正楷体_GBK"/>
          <w:sz w:val="32"/>
          <w:szCs w:val="32"/>
          <w:lang w:eastAsia="zh-CN"/>
        </w:rPr>
        <w:t>）</w:t>
      </w:r>
    </w:p>
    <w:p w14:paraId="7E714D35">
      <w:pPr>
        <w:spacing w:line="560" w:lineRule="exact"/>
        <w:jc w:val="center"/>
        <w:rPr>
          <w:rFonts w:hint="eastAsia" w:ascii="方正楷体_GBK" w:hAnsi="方正楷体_GBK" w:eastAsia="方正楷体_GBK" w:cs="方正楷体_GBK"/>
          <w:sz w:val="32"/>
          <w:szCs w:val="32"/>
          <w:lang w:eastAsia="zh-CN"/>
        </w:rPr>
      </w:pPr>
    </w:p>
    <w:p w14:paraId="2AA6ECEC">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第一章 总 则</w:t>
      </w:r>
    </w:p>
    <w:p w14:paraId="5FA30A41">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5B9CF26F">
      <w:pPr>
        <w:spacing w:line="560" w:lineRule="exact"/>
        <w:ind w:firstLine="64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第一条【目的依据】</w:t>
      </w:r>
      <w:r>
        <w:rPr>
          <w:rFonts w:hint="default" w:ascii="Times New Roman" w:hAnsi="Times New Roman" w:eastAsia="仿宋" w:cs="Times New Roman"/>
          <w:color w:val="000000" w:themeColor="text1"/>
          <w:sz w:val="32"/>
          <w:szCs w:val="32"/>
          <w:highlight w:val="none"/>
          <w14:textFill>
            <w14:solidFill>
              <w14:schemeClr w14:val="tx1"/>
            </w14:solidFill>
          </w14:textFill>
        </w:rPr>
        <w:t>为了加强计量监督管理，规范计量行为，保证国家计量单位制的统一和量值的准确可靠，保护消费者和经营者的合法权益，建立诚信消费环境，根据《中华人民共和国计量法》《中华人民共和国计量法实施细则》</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《江苏省贸易计量监督管理条例》等法律、法规，结合本市实际，制定本办法。</w:t>
      </w:r>
    </w:p>
    <w:p w14:paraId="62AB715D">
      <w:pPr>
        <w:spacing w:line="560" w:lineRule="exact"/>
        <w:ind w:firstLine="64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第二条【适用范围</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和名词解释</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本办法适用于本市行政区域内的计量活动及其监督管理。</w:t>
      </w:r>
    </w:p>
    <w:p w14:paraId="0DF3858E">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一</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计量活动，是指建立计量标准器具，进行计量器具检定或者校准，制造、修理、销售、使用计量器具，使用计量单位以及采集、形成、出具、标称、公布计量数据等活动。</w:t>
      </w:r>
    </w:p>
    <w:p w14:paraId="0D2A1B7C">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color w:val="000000" w:themeColor="text1"/>
          <w:sz w:val="32"/>
          <w:szCs w:val="32"/>
          <w:highlight w:val="none"/>
          <w14:textFill>
            <w14:solidFill>
              <w14:schemeClr w14:val="tx1"/>
            </w14:solidFill>
          </w14:textFill>
        </w:rPr>
        <w:t>）计量器具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是指能用以直接或间接测出被测对象量值的装置、仪器仪表、量具和用于统一量值的标准物质，包括计量基准、计量标准、工作计量器具。</w:t>
      </w:r>
    </w:p>
    <w:p w14:paraId="62E2B203">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三</w:t>
      </w:r>
      <w:r>
        <w:rPr>
          <w:rFonts w:hint="default" w:ascii="Times New Roman" w:hAnsi="Times New Roman" w:eastAsia="仿宋" w:cs="Times New Roman"/>
          <w:color w:val="000000" w:themeColor="text1"/>
          <w:sz w:val="32"/>
          <w:szCs w:val="32"/>
          <w:highlight w:val="none"/>
          <w14:textFill>
            <w14:solidFill>
              <w14:schemeClr w14:val="tx1"/>
            </w14:solidFill>
          </w14:textFill>
        </w:rPr>
        <w:t>）计量检定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是指为评定计量器具的计量性能，确定其是否合格所进行的全部工作。</w:t>
      </w:r>
    </w:p>
    <w:p w14:paraId="7862D1A6">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第三条【适用原则】</w:t>
      </w:r>
      <w:r>
        <w:rPr>
          <w:rFonts w:hint="default" w:ascii="Times New Roman" w:hAnsi="Times New Roman" w:eastAsia="仿宋" w:cs="Times New Roman"/>
          <w:color w:val="000000" w:themeColor="text1"/>
          <w:sz w:val="32"/>
          <w:szCs w:val="32"/>
          <w:highlight w:val="none"/>
          <w14:textFill>
            <w14:solidFill>
              <w14:schemeClr w14:val="tx1"/>
            </w14:solidFill>
          </w14:textFill>
        </w:rPr>
        <w:t>实施计量行为，应当遵循科学、公正、客观、诚实守信的原则，保障计量器具准确可靠，保证计量数据真实有效。</w:t>
      </w:r>
    </w:p>
    <w:p w14:paraId="30AC2E18">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第四条【主管部门】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市</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对全市计量工作实施统一监督管理</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县</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区</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负责本行政区域内计量工作的监督管理</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；计量行政部门有序推进计量信用评价记录归集建档工作</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14:paraId="110DFC4C">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工信、公安、住建、交通运输、商务、文广新、卫健、生态环保、应管等相关部门应当按照各自职责，做好计量工作的协调管理。</w:t>
      </w:r>
    </w:p>
    <w:p w14:paraId="140FE617">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第五条【政府职责】</w:t>
      </w:r>
      <w:r>
        <w:rPr>
          <w:rFonts w:hint="default" w:ascii="Times New Roman" w:hAnsi="Times New Roman" w:eastAsia="仿宋" w:cs="Times New Roman"/>
          <w:color w:val="000000" w:themeColor="text1"/>
          <w:sz w:val="32"/>
          <w:szCs w:val="32"/>
          <w:highlight w:val="none"/>
          <w14:textFill>
            <w14:solidFill>
              <w14:schemeClr w14:val="tx1"/>
            </w14:solidFill>
          </w14:textFill>
        </w:rPr>
        <w:t>县（区）人民政府应当将计量工作纳入国民经济和社会发展规划，鼓励和支持开展计量科学技术研究，并对计量工作做出显著成绩的单位和个人给予奖励。</w:t>
      </w:r>
    </w:p>
    <w:p w14:paraId="0850FB87">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第六条【行业协同】</w:t>
      </w:r>
      <w:r>
        <w:rPr>
          <w:rFonts w:hint="default" w:ascii="Times New Roman" w:hAnsi="Times New Roman" w:eastAsia="仿宋" w:cs="Times New Roman"/>
          <w:color w:val="000000" w:themeColor="text1"/>
          <w:sz w:val="32"/>
          <w:szCs w:val="32"/>
          <w:highlight w:val="none"/>
          <w14:textFill>
            <w14:solidFill>
              <w14:schemeClr w14:val="tx1"/>
            </w14:solidFill>
          </w14:textFill>
        </w:rPr>
        <w:t>计量行业协会应当加强计量法律法规宣传，引导本行业单位和人员诚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信</w:t>
      </w:r>
      <w:r>
        <w:rPr>
          <w:rFonts w:hint="default" w:ascii="Times New Roman" w:hAnsi="Times New Roman" w:eastAsia="仿宋" w:cs="Times New Roman"/>
          <w:color w:val="000000" w:themeColor="text1"/>
          <w:sz w:val="32"/>
          <w:szCs w:val="32"/>
          <w:highlight w:val="none"/>
          <w14:textFill>
            <w14:solidFill>
              <w14:schemeClr w14:val="tx1"/>
            </w14:solidFill>
          </w14:textFill>
        </w:rPr>
        <w:t>合法经营，规范计量经营行为</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，开展行业诚信计量评价</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14:paraId="73BCE64C">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1CB80316">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第二章 计量器具管理</w:t>
      </w:r>
    </w:p>
    <w:p w14:paraId="7FA6E1A8">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3CB2A3BE">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第七条【计量标准器具】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根据经济发展和监督管理需要，建立社会公用计量标准器具，经上级</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主持考核合格后使用。</w:t>
      </w:r>
    </w:p>
    <w:p w14:paraId="79F9353B">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第八条【强制检定制度】</w:t>
      </w:r>
      <w:r>
        <w:rPr>
          <w:rFonts w:hint="default" w:ascii="Times New Roman" w:hAnsi="Times New Roman" w:eastAsia="仿宋" w:cs="Times New Roman"/>
          <w:color w:val="000000" w:themeColor="text1"/>
          <w:sz w:val="32"/>
          <w:szCs w:val="32"/>
          <w:highlight w:val="none"/>
          <w14:textFill>
            <w14:solidFill>
              <w14:schemeClr w14:val="tx1"/>
            </w14:solidFill>
          </w14:textFill>
        </w:rPr>
        <w:t>社会公用计量标准器具和个人、企业、事业单位使用的最高计量标准器具，实行强制检定。用于贸易结算、安全防护、医疗卫生、环境监测、行政监管等方面列入强制检定目录的工作计量器具，应当实行强制检定。</w:t>
      </w:r>
    </w:p>
    <w:p w14:paraId="376F18A1">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使用实行强制检定计量器具的单位和个人，应当于使用前30日内向</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备案，并向相应的计量检定机构申请周期检定。实行强制检定的计量器具，修理后需要再次投入使用的，应当重新进行检定。</w:t>
      </w:r>
    </w:p>
    <w:p w14:paraId="7D769720">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使用非强制检定的计量器具的单位和个人应当定期自行检定、校准，或者送有资质的机构检定、校准。</w:t>
      </w:r>
    </w:p>
    <w:p w14:paraId="6FA50FBB">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第九条【计量合格检定】</w:t>
      </w:r>
      <w:r>
        <w:rPr>
          <w:rFonts w:hint="default" w:ascii="Times New Roman" w:hAnsi="Times New Roman" w:eastAsia="仿宋" w:cs="Times New Roman"/>
          <w:color w:val="000000" w:themeColor="text1"/>
          <w:sz w:val="32"/>
          <w:szCs w:val="32"/>
          <w:highlight w:val="none"/>
          <w14:textFill>
            <w14:solidFill>
              <w14:schemeClr w14:val="tx1"/>
            </w14:solidFill>
          </w14:textFill>
        </w:rPr>
        <w:t>用于贸易结算的水表、电能表、燃气表、热量</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冷气</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表</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计</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、加油（气）机、电子计价秤等与人民群众生活密切相关</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14:textFill>
            <w14:solidFill>
              <w14:schemeClr w14:val="tx1"/>
            </w14:solidFill>
          </w14:textFill>
        </w:rPr>
        <w:t>强制计量器具，应当由经营者申请首次强制检定。未经检定或者检定不合格的计量器具，不得安装使用。</w:t>
      </w:r>
    </w:p>
    <w:p w14:paraId="7E1A65DB">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693BB3F2">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第三章 计量检定</w:t>
      </w:r>
      <w:r>
        <w:rPr>
          <w:rFonts w:hint="eastAsia" w:ascii="Times New Roman" w:hAnsi="Times New Roman" w:eastAsia="方正黑体_GBK" w:cs="Times New Roman"/>
          <w:b/>
          <w:bCs/>
          <w:color w:val="000000" w:themeColor="text1"/>
          <w:sz w:val="32"/>
          <w:szCs w:val="32"/>
          <w:highlight w:val="none"/>
          <w:lang w:eastAsia="zh-CN"/>
          <w14:textFill>
            <w14:solidFill>
              <w14:schemeClr w14:val="tx1"/>
            </w14:solidFill>
          </w14:textFill>
        </w:rPr>
        <w:t>与</w:t>
      </w: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校准</w:t>
      </w:r>
    </w:p>
    <w:p w14:paraId="29A133FB">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2884D1CB">
      <w:pPr>
        <w:ind w:firstLine="643"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第十条【检定机构资质和条件】</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依法设置或者授权的计量检定机构为法定计量检定机构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以下简称检定机构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。检定机构开展检定和校准工作应当建立相应的计量标准。检定机构应当具备以下条件</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12BC30F8">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具有法人资格</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不具有法人资格的，应当经其所属法人单位同意，并由法人单位依法承担相应法律责任；</w:t>
      </w:r>
    </w:p>
    <w:p w14:paraId="0F76FFAA">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在申请开展的项目上有相应的技术水平和计量管理能力</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664E08B6">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三</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有与其申请开展的项目相适应的计量标准装置和配套设备</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29C30285">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四</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有与其申请开展的项目相适应的计量检定人员和计量管理人员</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4B6BA3BD">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五</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有能保证申请开展的项目正常进行的工作环境和设施</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0943D574">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六</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符合国家相关计量技术规范的要求。</w:t>
      </w:r>
    </w:p>
    <w:p w14:paraId="4A6F8747">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default" w:ascii="Times New Roman" w:hAnsi="Times New Roman" w:eastAsia="仿宋" w:cs="Times New Roman"/>
          <w:b/>
          <w:bCs/>
          <w:color w:val="000000" w:themeColor="text1"/>
          <w:sz w:val="32"/>
          <w:szCs w:val="32"/>
          <w:highlight w:val="none"/>
          <w:lang w:eastAsia="zh-CN"/>
          <w14:textFill>
            <w14:solidFill>
              <w14:schemeClr w14:val="tx1"/>
            </w14:solidFill>
          </w14:textFill>
        </w:rPr>
        <w:t>一</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条【计量检定实施】</w:t>
      </w:r>
      <w:r>
        <w:rPr>
          <w:rFonts w:hint="default" w:ascii="Times New Roman" w:hAnsi="Times New Roman" w:eastAsia="仿宋" w:cs="Times New Roman"/>
          <w:color w:val="000000" w:themeColor="text1"/>
          <w:sz w:val="32"/>
          <w:szCs w:val="32"/>
          <w:highlight w:val="none"/>
          <w14:textFill>
            <w14:solidFill>
              <w14:schemeClr w14:val="tx1"/>
            </w14:solidFill>
          </w14:textFill>
        </w:rPr>
        <w:t>计量检定应当按照国家计量检定系统表进行，执行计量检定规程，并在规定期限内出具相应证书。</w:t>
      </w:r>
    </w:p>
    <w:p w14:paraId="0BC214B8">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检定机构需要对社会开展计量校准服务的，应当按照本办法对校准机构的规定执行。</w:t>
      </w:r>
      <w:bookmarkStart w:id="0" w:name="_GoBack"/>
      <w:bookmarkEnd w:id="0"/>
    </w:p>
    <w:p w14:paraId="3D0F2275">
      <w:pPr>
        <w:ind w:firstLine="643"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default" w:ascii="Times New Roman" w:hAnsi="Times New Roman" w:eastAsia="仿宋" w:cs="Times New Roman"/>
          <w:b/>
          <w:bCs/>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条【校准机构条件与职责】</w:t>
      </w:r>
      <w:r>
        <w:rPr>
          <w:rFonts w:hint="default" w:ascii="Times New Roman" w:hAnsi="Times New Roman" w:eastAsia="仿宋" w:cs="Times New Roman"/>
          <w:color w:val="000000" w:themeColor="text1"/>
          <w:sz w:val="32"/>
          <w:szCs w:val="32"/>
          <w:highlight w:val="none"/>
          <w14:textFill>
            <w14:solidFill>
              <w14:schemeClr w14:val="tx1"/>
            </w14:solidFill>
          </w14:textFill>
        </w:rPr>
        <w:t>检定机构之外向社会提供计量校准服务的机构为计量校准机构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以下简称校准机构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。校准机构开展校准工作应当建立相应的计量标准。校准机构应当具备以下条件</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5C707F15">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有与其申请开展的项目相适应的计量体系</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46DA04EB">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color w:val="000000" w:themeColor="text1"/>
          <w:sz w:val="32"/>
          <w:szCs w:val="32"/>
          <w:highlight w:val="none"/>
          <w14:textFill>
            <w14:solidFill>
              <w14:schemeClr w14:val="tx1"/>
            </w14:solidFill>
          </w14:textFill>
        </w:rPr>
        <w:t>有与其申请开展的项目相适应的计量标准装置和配套设备</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41F52064">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（三）</w:t>
      </w:r>
      <w:r>
        <w:rPr>
          <w:rFonts w:hint="default" w:ascii="Times New Roman" w:hAnsi="Times New Roman" w:eastAsia="仿宋" w:cs="Times New Roman"/>
          <w:color w:val="000000" w:themeColor="text1"/>
          <w:sz w:val="32"/>
          <w:szCs w:val="32"/>
          <w:highlight w:val="none"/>
          <w14:textFill>
            <w14:solidFill>
              <w14:schemeClr w14:val="tx1"/>
            </w14:solidFill>
          </w14:textFill>
        </w:rPr>
        <w:t>有与其申请开展的项目相适应的计量职业资格人员和管理人员</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6719A720">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（四）</w:t>
      </w:r>
      <w:r>
        <w:rPr>
          <w:rFonts w:hint="default" w:ascii="Times New Roman" w:hAnsi="Times New Roman" w:eastAsia="仿宋" w:cs="Times New Roman"/>
          <w:color w:val="000000" w:themeColor="text1"/>
          <w:sz w:val="32"/>
          <w:szCs w:val="32"/>
          <w:highlight w:val="none"/>
          <w14:textFill>
            <w14:solidFill>
              <w14:schemeClr w14:val="tx1"/>
            </w14:solidFill>
          </w14:textFill>
        </w:rPr>
        <w:t>有保证申请开展的项目正常进行的工作环境和设施。</w:t>
      </w:r>
    </w:p>
    <w:p w14:paraId="7B732165">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校准机构开展计量校准服务，应当签订委托合同，明确校准规范或者校准方式，并向委托人出具计量校准报告。</w:t>
      </w:r>
    </w:p>
    <w:p w14:paraId="212A7E87">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6D6D3B07">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第四章 贸易计量管理</w:t>
      </w:r>
    </w:p>
    <w:p w14:paraId="6335ACBC">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0109AD1A">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三</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条【量值准确规范】</w:t>
      </w:r>
      <w:r>
        <w:rPr>
          <w:rFonts w:hint="default" w:ascii="Times New Roman" w:hAnsi="Times New Roman" w:eastAsia="仿宋" w:cs="Times New Roman"/>
          <w:color w:val="000000" w:themeColor="text1"/>
          <w:sz w:val="32"/>
          <w:szCs w:val="32"/>
          <w:highlight w:val="none"/>
          <w14:textFill>
            <w14:solidFill>
              <w14:schemeClr w14:val="tx1"/>
            </w14:solidFill>
          </w14:textFill>
        </w:rPr>
        <w:t>凡以商品、服务的量值作为结算依据的，经营者应当使用计量器具测量量值，不得估量计费。不具备计量条件并经当事人同意或者法律、法规、规章另有规定的除外。</w:t>
      </w:r>
    </w:p>
    <w:p w14:paraId="31104F26">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经营者应当保证商品计量和服务计量的准确</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商品计量和服务计量偏差允许值应当在国家和</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江苏</w:t>
      </w:r>
      <w:r>
        <w:rPr>
          <w:rFonts w:hint="default" w:ascii="Times New Roman" w:hAnsi="Times New Roman" w:eastAsia="仿宋" w:cs="Times New Roman"/>
          <w:color w:val="000000" w:themeColor="text1"/>
          <w:sz w:val="32"/>
          <w:szCs w:val="32"/>
          <w:highlight w:val="none"/>
          <w14:textFill>
            <w14:solidFill>
              <w14:schemeClr w14:val="tx1"/>
            </w14:solidFill>
          </w14:textFill>
        </w:rPr>
        <w:t>省规定的范围内。</w:t>
      </w:r>
    </w:p>
    <w:p w14:paraId="75FA0541">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四</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条【主办者</w:t>
      </w:r>
      <w:r>
        <w:rPr>
          <w:rFonts w:hint="default" w:ascii="Times New Roman" w:hAnsi="Times New Roman" w:eastAsia="仿宋" w:cs="Times New Roman"/>
          <w:b/>
          <w:bCs/>
          <w:color w:val="000000" w:themeColor="text1"/>
          <w:sz w:val="32"/>
          <w:szCs w:val="32"/>
          <w:highlight w:val="none"/>
          <w:lang w:eastAsia="zh-CN"/>
          <w14:textFill>
            <w14:solidFill>
              <w14:schemeClr w14:val="tx1"/>
            </w14:solidFill>
          </w14:textFill>
        </w:rPr>
        <w:t>经营者</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计量职责】</w:t>
      </w:r>
      <w:r>
        <w:rPr>
          <w:rFonts w:hint="default" w:ascii="Times New Roman" w:hAnsi="Times New Roman" w:eastAsia="仿宋" w:cs="Times New Roman"/>
          <w:color w:val="000000" w:themeColor="text1"/>
          <w:sz w:val="32"/>
          <w:szCs w:val="32"/>
          <w:highlight w:val="none"/>
          <w14:textFill>
            <w14:solidFill>
              <w14:schemeClr w14:val="tx1"/>
            </w14:solidFill>
          </w14:textFill>
        </w:rPr>
        <w:t>商品交易市场、农贸市场、商场</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超市</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的主办者应当全面负责场</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内强制检定</w:t>
      </w:r>
      <w:r>
        <w:rPr>
          <w:rFonts w:hint="default" w:ascii="Times New Roman" w:hAnsi="Times New Roman" w:eastAsia="仿宋" w:cs="Times New Roman"/>
          <w:color w:val="000000" w:themeColor="text1"/>
          <w:sz w:val="32"/>
          <w:szCs w:val="32"/>
          <w:highlight w:val="none"/>
          <w14:textFill>
            <w14:solidFill>
              <w14:schemeClr w14:val="tx1"/>
            </w14:solidFill>
          </w14:textFill>
        </w:rPr>
        <w:t>计量</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器具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计量工作</w:t>
      </w:r>
      <w:r>
        <w:rPr>
          <w:rFonts w:hint="default" w:ascii="Times New Roman" w:hAnsi="Times New Roman" w:eastAsia="仿宋" w:cs="Times New Roman"/>
          <w:color w:val="000000" w:themeColor="text1"/>
          <w:sz w:val="32"/>
          <w:szCs w:val="32"/>
          <w:highlight w:val="none"/>
          <w14:textFill>
            <w14:solidFill>
              <w14:schemeClr w14:val="tx1"/>
            </w14:solidFill>
          </w14:textFill>
        </w:rPr>
        <w:t>，强化登记台账与使用管理</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并在显著位置设置便于公众复验的计量器具，保证其量值准确可靠。</w:t>
      </w:r>
    </w:p>
    <w:p w14:paraId="3E35EF6E">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制售定量包装商品的，应当在包装的显著位置，用中文、数字和法定计量单位真实、清晰地标注商品的净含量。经营者不得销售未标明净含量的定量包装商品。</w:t>
      </w:r>
    </w:p>
    <w:p w14:paraId="24773CE6">
      <w:pPr>
        <w:ind w:firstLine="640" w:firstLineChars="200"/>
        <w:rPr>
          <w:rFonts w:hint="default" w:ascii="Times New Roman" w:hAnsi="Times New Roman" w:eastAsia="仿宋" w:cs="Times New Roman"/>
          <w:b/>
          <w:bCs/>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鼓励有条件的农贸市场主办者免费为经营者统一配置经强制检定合格的计量器具。经营者应当对配置、使用的计量器具进行维护和保管，不得破坏计量器具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检定</w:t>
      </w:r>
      <w:r>
        <w:rPr>
          <w:rFonts w:hint="default" w:ascii="Times New Roman" w:hAnsi="Times New Roman" w:eastAsia="仿宋" w:cs="Times New Roman"/>
          <w:color w:val="000000" w:themeColor="text1"/>
          <w:sz w:val="32"/>
          <w:szCs w:val="32"/>
          <w:highlight w:val="none"/>
          <w14:textFill>
            <w14:solidFill>
              <w14:schemeClr w14:val="tx1"/>
            </w14:solidFill>
          </w14:textFill>
        </w:rPr>
        <w:t>封缄，不得破坏计量器具准确度。</w:t>
      </w:r>
    </w:p>
    <w:p w14:paraId="4F99EFA0">
      <w:pPr>
        <w:ind w:firstLine="643" w:firstLineChars="200"/>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五</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条【油气计量</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管理</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加油</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气</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站应当完善计量管理制度，保证成品油</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气</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销售计量准确。</w:t>
      </w:r>
      <w:r>
        <w:rPr>
          <w:rFonts w:hint="default"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不得使用未经检定、超过检定周期或者经检定不合格的计量器具；不得破坏计量器具及其铅（签）封，不得擅自改动、拆装燃油加油机，不得使用未经批准而改动的燃油加油机，不得弄虚作假。</w:t>
      </w:r>
    </w:p>
    <w:p w14:paraId="429F14F2">
      <w:pPr>
        <w:ind w:firstLine="643" w:firstLineChars="200"/>
        <w:rPr>
          <w:rFonts w:hint="default" w:ascii="仿宋" w:hAnsi="仿宋" w:eastAsia="仿宋" w:cs="仿宋"/>
          <w:i w:val="0"/>
          <w:iCs w:val="0"/>
          <w:caps w:val="0"/>
          <w:color w:val="333333"/>
          <w:spacing w:val="0"/>
          <w:sz w:val="31"/>
          <w:szCs w:val="31"/>
          <w:shd w:val="clear" w:fill="FFFFFF"/>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六</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条【眼镜计量</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管理</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经营</w:t>
      </w:r>
      <w:r>
        <w:rPr>
          <w:rFonts w:hint="default" w:ascii="Times New Roman" w:hAnsi="Times New Roman" w:eastAsia="仿宋" w:cs="Times New Roman"/>
          <w:color w:val="000000" w:themeColor="text1"/>
          <w:sz w:val="32"/>
          <w:szCs w:val="32"/>
          <w:highlight w:val="none"/>
          <w14:textFill>
            <w14:solidFill>
              <w14:schemeClr w14:val="tx1"/>
            </w14:solidFill>
          </w14:textFill>
        </w:rPr>
        <w:t>者应当完善计量质量管理体系，</w:t>
      </w:r>
      <w:r>
        <w:rPr>
          <w:rFonts w:ascii="仿宋" w:hAnsi="仿宋" w:eastAsia="仿宋" w:cs="仿宋"/>
          <w:i w:val="0"/>
          <w:iCs w:val="0"/>
          <w:caps w:val="0"/>
          <w:color w:val="333333"/>
          <w:spacing w:val="0"/>
          <w:sz w:val="31"/>
          <w:szCs w:val="31"/>
          <w:shd w:val="clear" w:fill="FFFFFF"/>
        </w:rPr>
        <w:t>配备经计量业务知识培训合格的专（兼）职计量管理和专业技术人员，</w:t>
      </w:r>
      <w:r>
        <w:rPr>
          <w:rFonts w:hint="eastAsia" w:ascii="仿宋" w:hAnsi="仿宋" w:eastAsia="仿宋" w:cs="仿宋"/>
          <w:i w:val="0"/>
          <w:iCs w:val="0"/>
          <w:caps w:val="0"/>
          <w:color w:val="333333"/>
          <w:spacing w:val="0"/>
          <w:sz w:val="31"/>
          <w:szCs w:val="31"/>
          <w:shd w:val="clear" w:fill="FFFFFF"/>
        </w:rPr>
        <w:t>配备与生产相适应的顶焦度、透过率和厚度等计量检测设备</w:t>
      </w:r>
      <w:r>
        <w:rPr>
          <w:rFonts w:hint="default" w:ascii="仿宋" w:hAnsi="仿宋" w:eastAsia="仿宋" w:cs="仿宋"/>
          <w:i w:val="0"/>
          <w:iCs w:val="0"/>
          <w:caps w:val="0"/>
          <w:color w:val="333333"/>
          <w:spacing w:val="0"/>
          <w:sz w:val="31"/>
          <w:szCs w:val="31"/>
          <w:shd w:val="clear" w:fill="FFFFFF"/>
        </w:rPr>
        <w:t>，保证出具的眼镜产品计量数据准确可靠。</w:t>
      </w:r>
    </w:p>
    <w:p w14:paraId="610522B9">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七</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条【公用企业计量</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管理</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供水、供电、供气、供热</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等经营者，应当</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保障</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强制检定计量器具的量值准确可靠，</w:t>
      </w:r>
      <w:r>
        <w:rPr>
          <w:rFonts w:hint="default" w:ascii="Times New Roman" w:hAnsi="Times New Roman" w:eastAsia="仿宋" w:cs="Times New Roman"/>
          <w:color w:val="000000" w:themeColor="text1"/>
          <w:sz w:val="32"/>
          <w:szCs w:val="32"/>
          <w:highlight w:val="none"/>
          <w14:textFill>
            <w14:solidFill>
              <w14:schemeClr w14:val="tx1"/>
            </w14:solidFill>
          </w14:textFill>
        </w:rPr>
        <w:t>按照最终用户使用的计量器具显示的量值，作为结算的依据，不得转嫁户外管线或者其他设施的能源损耗和损失。</w:t>
      </w:r>
    </w:p>
    <w:p w14:paraId="055D9263">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45CF72B7">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第五章 计量监督管理</w:t>
      </w:r>
    </w:p>
    <w:p w14:paraId="0F80B51D">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2AB3CD5E">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八</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条【计量监督检查】</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应当建立健全计量监督检查制度，对与国民经济以及生产、生活、身体健康密切相关的医疗卫生、集贸市场、供水、供电、供气、供热</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、安全、环保、交通运输、通信、住房等领域的商品和服务计量行为以及行政执法中的计量行为进行重点监督。</w:t>
      </w:r>
    </w:p>
    <w:p w14:paraId="6B99BF9E">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应当确定重点管理的强制检定计量器具目录，并向社会公布。</w:t>
      </w:r>
    </w:p>
    <w:p w14:paraId="7C926186">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应当对检定和校准机构加强监督管理，对检定、校准活动进行计量比对等监督检查。</w:t>
      </w:r>
    </w:p>
    <w:p w14:paraId="0A893326">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十九</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条【履职保障】</w:t>
      </w:r>
      <w:r>
        <w:rPr>
          <w:rFonts w:hint="default" w:ascii="Times New Roman" w:hAnsi="Times New Roman" w:eastAsia="仿宋" w:cs="Times New Roman"/>
          <w:color w:val="000000" w:themeColor="text1"/>
          <w:sz w:val="32"/>
          <w:szCs w:val="32"/>
          <w:highlight w:val="none"/>
          <w14:textFill>
            <w14:solidFill>
              <w14:schemeClr w14:val="tx1"/>
            </w14:solidFill>
          </w14:textFill>
        </w:rPr>
        <w:t>任何单位和个人不得拒绝、阻碍</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依法进行的监督检查，不得纵容、包庇计量违法行为</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不得擅自处理、转移、损毁被</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依法封存和扣押的物品及其他相关证据。</w:t>
      </w:r>
    </w:p>
    <w:p w14:paraId="21DB45CA">
      <w:pPr>
        <w:ind w:firstLine="643"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第二十条【计量监管措施】</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在进行计量监督检查时，有权采取下列措施</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0823D1FD">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询问有关当事人、主要负责人和其他有关人员，调查与被监督计量行为有关的活动</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05BB91B6">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进入生产、经营场地和产</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商</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品存放地检查、按照规定抽取样品</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018719D3">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三</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查阅、复制与被监督计量行为有关的票据、账册、合同、凭证、文件、业务函件等资料</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41BFCAEF">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四</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使用检定、检测等技术手段取得所需的证据材料</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557D75D8">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五</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对涉嫌计量违法的计量器具及相关物品依法采取强制措施</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3C94BAFA">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六</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其他依法可以采取的措施。</w:t>
      </w:r>
    </w:p>
    <w:p w14:paraId="5EBB7D92">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第二十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一</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条【计量仲裁检定】</w:t>
      </w:r>
      <w:r>
        <w:rPr>
          <w:rFonts w:hint="default" w:ascii="Times New Roman" w:hAnsi="Times New Roman" w:eastAsia="仿宋" w:cs="Times New Roman"/>
          <w:color w:val="000000" w:themeColor="text1"/>
          <w:sz w:val="32"/>
          <w:szCs w:val="32"/>
          <w:highlight w:val="none"/>
          <w14:textFill>
            <w14:solidFill>
              <w14:schemeClr w14:val="tx1"/>
            </w14:solidFill>
          </w14:textFill>
        </w:rPr>
        <w:t>在经营活动中产生计量纠纷的，当事人可以依法申请调解或者仲裁检定。在争议处理期间，任何一方当事人均不得改变与争议有关的计量器具的技术状态和</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计量数据</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接到计量调解或者仲裁检定申请后，应当在5日内</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作出</w:t>
      </w:r>
      <w:r>
        <w:rPr>
          <w:rFonts w:hint="default" w:ascii="Times New Roman" w:hAnsi="Times New Roman" w:eastAsia="仿宋" w:cs="Times New Roman"/>
          <w:color w:val="000000" w:themeColor="text1"/>
          <w:sz w:val="32"/>
          <w:szCs w:val="32"/>
          <w:highlight w:val="none"/>
          <w14:textFill>
            <w14:solidFill>
              <w14:schemeClr w14:val="tx1"/>
            </w14:solidFill>
          </w14:textFill>
        </w:rPr>
        <w:t>是否受理的决定。不予受理的应当说明理由。</w:t>
      </w:r>
    </w:p>
    <w:p w14:paraId="48A2EB2D">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仲裁检定由</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指定的检定机构进行。仲裁检定结果由受理部门审核后通知申请人。</w:t>
      </w:r>
    </w:p>
    <w:p w14:paraId="64F1E5C8">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47AD2EE6">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第六章 罚 则</w:t>
      </w:r>
    </w:p>
    <w:p w14:paraId="09E5E2E9">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1CC116C4">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第二十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条【一般规定】</w:t>
      </w:r>
      <w:r>
        <w:rPr>
          <w:rFonts w:hint="default" w:ascii="Times New Roman" w:hAnsi="Times New Roman" w:eastAsia="仿宋" w:cs="Times New Roman"/>
          <w:color w:val="000000" w:themeColor="text1"/>
          <w:sz w:val="32"/>
          <w:szCs w:val="32"/>
          <w:highlight w:val="none"/>
          <w14:textFill>
            <w14:solidFill>
              <w14:schemeClr w14:val="tx1"/>
            </w14:solidFill>
          </w14:textFill>
        </w:rPr>
        <w:t>违反本办法规定的行为，法律、法规有处罚规定的，从其规定。</w:t>
      </w:r>
    </w:p>
    <w:p w14:paraId="4F83C0D4">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第二十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三</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条【计量</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器具</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违规责任】</w:t>
      </w:r>
      <w:r>
        <w:rPr>
          <w:rFonts w:hint="default" w:ascii="Times New Roman" w:hAnsi="Times New Roman" w:eastAsia="仿宋" w:cs="Times New Roman"/>
          <w:color w:val="000000" w:themeColor="text1"/>
          <w:sz w:val="32"/>
          <w:szCs w:val="32"/>
          <w:highlight w:val="none"/>
          <w14:textFill>
            <w14:solidFill>
              <w14:schemeClr w14:val="tx1"/>
            </w14:solidFill>
          </w14:textFill>
        </w:rPr>
        <w:t>违反本办法规定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有下列行为之一</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给国家和消费者造成损失的，</w:t>
      </w:r>
      <w:r>
        <w:rPr>
          <w:rFonts w:hint="eastAsia" w:ascii="Times New Roman" w:hAnsi="Times New Roman" w:eastAsia="仿宋_GB2312" w:cs="Times New Roman"/>
          <w:color w:val="000000" w:themeColor="text1"/>
          <w:sz w:val="32"/>
          <w:szCs w:val="32"/>
          <w:highlight w:val="none"/>
          <w:shd w:val="clear" w:color="auto" w:fill="FFFFFF"/>
          <w:lang w:eastAsia="zh-CN"/>
          <w14:textFill>
            <w14:solidFill>
              <w14:schemeClr w14:val="tx1"/>
            </w14:solidFill>
          </w14:textFill>
        </w:rPr>
        <w:t>由</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责令限期改正</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可并处100元以上1000元以下罚款；情节严重的，</w:t>
      </w:r>
      <w:r>
        <w:rPr>
          <w:rFonts w:hint="default"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责令其赔偿损失，没收计量器具和全部违法所得，可并处</w:t>
      </w:r>
      <w:r>
        <w:rPr>
          <w:rFonts w:hint="default" w:ascii="Times New Roman" w:hAnsi="Times New Roman" w:eastAsia="宋体" w:cs="Times New Roman"/>
          <w:color w:val="000000" w:themeColor="text1"/>
          <w:sz w:val="32"/>
          <w:szCs w:val="32"/>
          <w:highlight w:val="none"/>
          <w:shd w:val="clear" w:color="auto" w:fill="FFFFFF"/>
          <w14:textFill>
            <w14:solidFill>
              <w14:schemeClr w14:val="tx1"/>
            </w14:solidFill>
          </w14:textFill>
        </w:rPr>
        <w:t>2000</w:t>
      </w:r>
      <w:r>
        <w:rPr>
          <w:rFonts w:hint="default" w:ascii="Times New Roman" w:hAnsi="Times New Roman" w:eastAsia="仿宋_GB2312" w:cs="Times New Roman"/>
          <w:color w:val="000000" w:themeColor="text1"/>
          <w:sz w:val="32"/>
          <w:szCs w:val="32"/>
          <w:highlight w:val="none"/>
          <w:shd w:val="clear" w:color="auto" w:fill="FFFFFF"/>
          <w14:textFill>
            <w14:solidFill>
              <w14:schemeClr w14:val="tx1"/>
            </w14:solidFill>
          </w14:textFill>
        </w:rPr>
        <w:t>元以下的罚款。</w:t>
      </w:r>
    </w:p>
    <w:p w14:paraId="4D43B961">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使用强制检定计量器具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未向</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备案的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1A3282E7">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破坏计量器具封缄或者计量器具的准确度</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19ECC4AC">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三</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加装作弊装置</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功能</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或者破坏防作弊装置</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功能</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459A3466">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（四）</w:t>
      </w:r>
      <w:r>
        <w:rPr>
          <w:rFonts w:hint="default" w:ascii="Times New Roman" w:hAnsi="Times New Roman" w:eastAsia="仿宋" w:cs="Times New Roman"/>
          <w:color w:val="000000" w:themeColor="text1"/>
          <w:sz w:val="32"/>
          <w:szCs w:val="32"/>
          <w:highlight w:val="none"/>
          <w14:textFill>
            <w14:solidFill>
              <w14:schemeClr w14:val="tx1"/>
            </w14:solidFill>
          </w14:textFill>
        </w:rPr>
        <w:t>销售、使用无厂名厂址，无计量</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产品合格证</w:t>
      </w:r>
      <w:r>
        <w:rPr>
          <w:rFonts w:hint="default" w:ascii="Times New Roman" w:hAnsi="Times New Roman" w:eastAsia="仿宋" w:cs="Times New Roman"/>
          <w:color w:val="000000" w:themeColor="text1"/>
          <w:sz w:val="32"/>
          <w:szCs w:val="32"/>
          <w:highlight w:val="none"/>
          <w14:textFill>
            <w14:solidFill>
              <w14:schemeClr w14:val="tx1"/>
            </w14:solidFill>
          </w14:textFill>
        </w:rPr>
        <w:t>，无型式批准标志和编号的计量器具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60C53AEE">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（五）</w:t>
      </w:r>
      <w:r>
        <w:rPr>
          <w:rFonts w:hint="default" w:ascii="Times New Roman" w:hAnsi="Times New Roman" w:eastAsia="仿宋" w:cs="Times New Roman"/>
          <w:color w:val="000000" w:themeColor="text1"/>
          <w:sz w:val="32"/>
          <w:szCs w:val="32"/>
          <w:highlight w:val="none"/>
          <w14:textFill>
            <w14:solidFill>
              <w14:schemeClr w14:val="tx1"/>
            </w14:solidFill>
          </w14:textFill>
        </w:rPr>
        <w:t>使用未经检定、超过检定周期或者经检定不符合要求的计量器具</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1EF01DC3">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（六）</w:t>
      </w:r>
      <w:r>
        <w:rPr>
          <w:rFonts w:hint="default" w:ascii="Times New Roman" w:hAnsi="Times New Roman" w:eastAsia="仿宋" w:cs="Times New Roman"/>
          <w:color w:val="000000" w:themeColor="text1"/>
          <w:sz w:val="32"/>
          <w:szCs w:val="32"/>
          <w:highlight w:val="none"/>
          <w14:textFill>
            <w14:solidFill>
              <w14:schemeClr w14:val="tx1"/>
            </w14:solidFill>
          </w14:textFill>
        </w:rPr>
        <w:t>伪造或者提供、使用伪造的计量器具检定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校准</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证书</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5B708909">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（七）</w:t>
      </w:r>
      <w:r>
        <w:rPr>
          <w:rFonts w:hint="default" w:ascii="Times New Roman" w:hAnsi="Times New Roman" w:eastAsia="仿宋" w:cs="Times New Roman"/>
          <w:color w:val="000000" w:themeColor="text1"/>
          <w:sz w:val="32"/>
          <w:szCs w:val="32"/>
          <w:highlight w:val="none"/>
          <w14:textFill>
            <w14:solidFill>
              <w14:schemeClr w14:val="tx1"/>
            </w14:solidFill>
          </w14:textFill>
        </w:rPr>
        <w:t>强制检定的计量器具修理后未重新检定投入使用的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2099FA85">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（八）</w:t>
      </w:r>
      <w:r>
        <w:rPr>
          <w:rFonts w:hint="default" w:ascii="Times New Roman" w:hAnsi="Times New Roman" w:eastAsia="仿宋" w:cs="Times New Roman"/>
          <w:color w:val="000000" w:themeColor="text1"/>
          <w:sz w:val="32"/>
          <w:szCs w:val="32"/>
          <w:highlight w:val="none"/>
          <w14:textFill>
            <w14:solidFill>
              <w14:schemeClr w14:val="tx1"/>
            </w14:solidFill>
          </w14:textFill>
        </w:rPr>
        <w:t>伪造、冒用、转让、出借、出租计量器具型式批准证书。</w:t>
      </w:r>
    </w:p>
    <w:p w14:paraId="1DBF2C27">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（九）</w:t>
      </w:r>
      <w:r>
        <w:rPr>
          <w:rFonts w:hint="default" w:ascii="Times New Roman" w:hAnsi="Times New Roman" w:eastAsia="仿宋" w:cs="Times New Roman"/>
          <w:color w:val="000000" w:themeColor="text1"/>
          <w:sz w:val="32"/>
          <w:szCs w:val="32"/>
          <w:highlight w:val="none"/>
          <w14:textFill>
            <w14:solidFill>
              <w14:schemeClr w14:val="tx1"/>
            </w14:solidFill>
          </w14:textFill>
        </w:rPr>
        <w:t>法律、法规和规章规定的其他禁止行为。</w:t>
      </w:r>
    </w:p>
    <w:p w14:paraId="26B91A5B">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四</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条【检定机构</w:t>
      </w:r>
      <w:r>
        <w:rPr>
          <w:rFonts w:hint="eastAsia" w:ascii="Times New Roman" w:hAnsi="Times New Roman" w:eastAsia="仿宋" w:cs="Times New Roman"/>
          <w:b/>
          <w:bCs/>
          <w:color w:val="000000" w:themeColor="text1"/>
          <w:sz w:val="32"/>
          <w:szCs w:val="32"/>
          <w:highlight w:val="none"/>
          <w:lang w:val="en-US" w:eastAsia="zh-CN"/>
          <w14:textFill>
            <w14:solidFill>
              <w14:schemeClr w14:val="tx1"/>
            </w14:solidFill>
          </w14:textFill>
        </w:rPr>
        <w:t>及人员</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违规责任】</w:t>
      </w:r>
      <w:r>
        <w:rPr>
          <w:rFonts w:hint="default" w:ascii="Times New Roman" w:hAnsi="Times New Roman" w:eastAsia="仿宋" w:cs="Times New Roman"/>
          <w:color w:val="000000" w:themeColor="text1"/>
          <w:sz w:val="32"/>
          <w:szCs w:val="32"/>
          <w:highlight w:val="none"/>
          <w14:textFill>
            <w14:solidFill>
              <w14:schemeClr w14:val="tx1"/>
            </w14:solidFill>
          </w14:textFill>
        </w:rPr>
        <w:t>违反本办法规定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检定机构以计量校准服务取代强制检定的，由</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责令限期改正，可并处1万元以上3万元以下罚款。</w:t>
      </w:r>
    </w:p>
    <w:p w14:paraId="0744F51C">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计量检定人员有下列行为之一的，给予行政处分；构成犯罪的，依法追究刑事责任：</w:t>
      </w:r>
    </w:p>
    <w:p w14:paraId="22B929BF">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伪造数据</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0E800921">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违反计量检定规程进行计量检定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654A431F">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三</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以计量校准服务取代强制检定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226D6048">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四</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使用未经考核合格或者超过有效期的计量标准开展计量检定工作</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650A4084">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五</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指派未取得计量检定资质的人员开展计量检定工作</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　　　</w:t>
      </w:r>
    </w:p>
    <w:p w14:paraId="6D576B21">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六</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伪造、盗用、倒卖或者破坏强制检定印、证</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184EAE1E">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七</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法律、法规和规章规定的其他禁止行为。</w:t>
      </w:r>
    </w:p>
    <w:p w14:paraId="36C29F7D">
      <w:pPr>
        <w:ind w:firstLine="643"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五</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条【校准机构违规责任】</w:t>
      </w:r>
      <w:r>
        <w:rPr>
          <w:rFonts w:hint="default" w:ascii="Times New Roman" w:hAnsi="Times New Roman" w:eastAsia="仿宋" w:cs="Times New Roman"/>
          <w:color w:val="000000" w:themeColor="text1"/>
          <w:sz w:val="32"/>
          <w:szCs w:val="32"/>
          <w:highlight w:val="none"/>
          <w14:textFill>
            <w14:solidFill>
              <w14:schemeClr w14:val="tx1"/>
            </w14:solidFill>
          </w14:textFill>
        </w:rPr>
        <w:t>违反本办法规定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校准机构有下列情形之一的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由</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县级以上计量行政部门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责令限期改正，可并处1万元以上3万元以下罚款</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70EFB2AD">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出具虚假计量校准报告</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1A3C7EC9">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color w:val="000000" w:themeColor="text1"/>
          <w:sz w:val="32"/>
          <w:szCs w:val="32"/>
          <w:highlight w:val="none"/>
          <w14:textFill>
            <w14:solidFill>
              <w14:schemeClr w14:val="tx1"/>
            </w14:solidFill>
          </w14:textFill>
        </w:rPr>
        <w:t>使用未经检定、检定不合格或者超过检定周期的计量标准器具开展计量校准服务</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3893EB65">
      <w:pPr>
        <w:ind w:firstLine="640" w:firstLineChars="200"/>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（三）</w:t>
      </w:r>
      <w:r>
        <w:rPr>
          <w:rFonts w:hint="default" w:ascii="Times New Roman" w:hAnsi="Times New Roman" w:eastAsia="仿宋" w:cs="Times New Roman"/>
          <w:color w:val="000000" w:themeColor="text1"/>
          <w:sz w:val="32"/>
          <w:szCs w:val="32"/>
          <w:highlight w:val="none"/>
          <w14:textFill>
            <w14:solidFill>
              <w14:schemeClr w14:val="tx1"/>
            </w14:solidFill>
          </w14:textFill>
        </w:rPr>
        <w:t>指派未取得相应资质的人员开展计量校准服务</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14:paraId="022B5B2D">
      <w:pPr>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（四）</w:t>
      </w:r>
      <w:r>
        <w:rPr>
          <w:rFonts w:hint="default" w:ascii="Times New Roman" w:hAnsi="Times New Roman" w:eastAsia="仿宋" w:cs="Times New Roman"/>
          <w:color w:val="000000" w:themeColor="text1"/>
          <w:sz w:val="32"/>
          <w:szCs w:val="32"/>
          <w:highlight w:val="none"/>
          <w14:textFill>
            <w14:solidFill>
              <w14:schemeClr w14:val="tx1"/>
            </w14:solidFill>
          </w14:textFill>
        </w:rPr>
        <w:t>法律、法规和规章规定的其他禁止行为。</w:t>
      </w:r>
    </w:p>
    <w:p w14:paraId="6ED2B761">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六</w:t>
      </w:r>
      <w:r>
        <w:rPr>
          <w:rFonts w:hint="eastAsia" w:ascii="Times New Roman" w:hAnsi="Times New Roman" w:eastAsia="仿宋" w:cs="Times New Roman"/>
          <w:b/>
          <w:bCs/>
          <w:color w:val="000000" w:themeColor="text1"/>
          <w:sz w:val="32"/>
          <w:szCs w:val="32"/>
          <w:highlight w:val="none"/>
          <w:lang w:val="en-US" w:eastAsia="zh-CN"/>
          <w14:textFill>
            <w14:solidFill>
              <w14:schemeClr w14:val="tx1"/>
            </w14:solidFill>
          </w14:textFill>
        </w:rPr>
        <w:t>条</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【主办者</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经营者</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违</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规</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责任】</w:t>
      </w:r>
      <w:r>
        <w:rPr>
          <w:rFonts w:hint="default" w:ascii="Times New Roman" w:hAnsi="Times New Roman" w:eastAsia="仿宋" w:cs="Times New Roman"/>
          <w:color w:val="000000" w:themeColor="text1"/>
          <w:sz w:val="32"/>
          <w:szCs w:val="32"/>
          <w:highlight w:val="none"/>
          <w14:textFill>
            <w14:solidFill>
              <w14:schemeClr w14:val="tx1"/>
            </w14:solidFill>
          </w14:textFill>
        </w:rPr>
        <w:t>违反本办法</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第十</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四</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条第一款</w:t>
      </w:r>
      <w:r>
        <w:rPr>
          <w:rFonts w:hint="default" w:ascii="Times New Roman" w:hAnsi="Times New Roman" w:eastAsia="仿宋" w:cs="Times New Roman"/>
          <w:color w:val="000000" w:themeColor="text1"/>
          <w:sz w:val="32"/>
          <w:szCs w:val="32"/>
          <w:highlight w:val="none"/>
          <w14:textFill>
            <w14:solidFill>
              <w14:schemeClr w14:val="tx1"/>
            </w14:solidFill>
          </w14:textFill>
        </w:rPr>
        <w:t>规定</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14:textFill>
            <w14:solidFill>
              <w14:schemeClr w14:val="tx1"/>
            </w14:solidFill>
          </w14:textFill>
        </w:rPr>
        <w:t>，由</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责令限期改正</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拒不改正的，</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可</w:t>
      </w:r>
      <w:r>
        <w:rPr>
          <w:rFonts w:hint="default" w:ascii="Times New Roman" w:hAnsi="Times New Roman" w:eastAsia="仿宋" w:cs="Times New Roman"/>
          <w:color w:val="000000" w:themeColor="text1"/>
          <w:sz w:val="32"/>
          <w:szCs w:val="32"/>
          <w:highlight w:val="none"/>
          <w14:textFill>
            <w14:solidFill>
              <w14:schemeClr w14:val="tx1"/>
            </w14:solidFill>
          </w14:textFill>
        </w:rPr>
        <w:t>处以1000元以上1万元以下罚款。</w:t>
      </w:r>
    </w:p>
    <w:p w14:paraId="175421C2">
      <w:pPr>
        <w:ind w:firstLine="640" w:firstLineChars="200"/>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违反本办法第十四条第二款规定的，由县级以上地方市场监督管理部门责令改正，可处1万元以下罚款；拒不改正或者情节严重的，可处3万元以下罚款。</w:t>
      </w:r>
    </w:p>
    <w:p w14:paraId="3FD7F52D">
      <w:pPr>
        <w:ind w:firstLine="643" w:firstLineChars="200"/>
        <w:rPr>
          <w:rFonts w:hint="default"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 w:cs="Times New Roman"/>
          <w:b/>
          <w:bCs/>
          <w:color w:val="000000" w:themeColor="text1"/>
          <w:kern w:val="2"/>
          <w:sz w:val="32"/>
          <w:szCs w:val="32"/>
          <w:highlight w:val="none"/>
          <w:lang w:val="en-US" w:eastAsia="zh-CN" w:bidi="ar-SA"/>
          <w14:textFill>
            <w14:solidFill>
              <w14:schemeClr w14:val="tx1"/>
            </w14:solidFill>
          </w14:textFill>
        </w:rPr>
        <w:t>第二十七条</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加油（气）站违规责任</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违反本办法第十五条规定的，责令其停止使用，可并处1000元以下罚款；</w:t>
      </w:r>
      <w:r>
        <w:rPr>
          <w:rFonts w:hint="default"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给国家和消费者造成损失的，责令其赔偿损失，没收计量器具和全部违法所得，可并处2000元以下的罚款。</w:t>
      </w:r>
    </w:p>
    <w:p w14:paraId="30A776A7">
      <w:pPr>
        <w:ind w:firstLine="643" w:firstLineChars="200"/>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 w:cs="Times New Roman"/>
          <w:b/>
          <w:bCs/>
          <w:color w:val="000000" w:themeColor="text1"/>
          <w:kern w:val="2"/>
          <w:sz w:val="32"/>
          <w:szCs w:val="32"/>
          <w:highlight w:val="none"/>
          <w:lang w:val="en-US" w:eastAsia="zh-CN" w:bidi="ar-SA"/>
          <w14:textFill>
            <w14:solidFill>
              <w14:schemeClr w14:val="tx1"/>
            </w14:solidFill>
          </w14:textFill>
        </w:rPr>
        <w:t>第二十八条</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眼镜经营者违规责任</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违反本办法第十六条“配备与生产相适应的顶焦度、透过率和厚度等计量检测设备”规定的，责令改正，可以并处1000元以上1万元以下罚款；违反“保证出具的眼镜产品计量数据准确可靠”规定的，责令改正，给消费者造成损失的，责令赔偿损失，可并处2000元以下罚款。</w:t>
      </w:r>
    </w:p>
    <w:p w14:paraId="73EE1F2D">
      <w:pPr>
        <w:ind w:firstLine="643" w:firstLineChars="200"/>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仿宋" w:cs="Times New Roman"/>
          <w:b/>
          <w:bCs/>
          <w:color w:val="000000" w:themeColor="text1"/>
          <w:kern w:val="2"/>
          <w:sz w:val="32"/>
          <w:szCs w:val="32"/>
          <w:highlight w:val="none"/>
          <w:lang w:val="en-US" w:eastAsia="zh-CN" w:bidi="ar-SA"/>
          <w14:textFill>
            <w14:solidFill>
              <w14:schemeClr w14:val="tx1"/>
            </w14:solidFill>
          </w14:textFill>
        </w:rPr>
        <w:t>第二十九条</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公用企业违规责任</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违反本办法第十七条规定的，</w:t>
      </w:r>
      <w:r>
        <w:rPr>
          <w:rFonts w:hint="default" w:ascii="Times New Roman" w:hAnsi="Times New Roman" w:eastAsia="仿宋" w:cs="Times New Roman"/>
          <w:color w:val="000000" w:themeColor="text1"/>
          <w:sz w:val="32"/>
          <w:szCs w:val="32"/>
          <w:highlight w:val="none"/>
          <w14:textFill>
            <w14:solidFill>
              <w14:schemeClr w14:val="tx1"/>
            </w14:solidFill>
          </w14:textFill>
        </w:rPr>
        <w:t>由</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责令限期改正，可处以1000元以下罚款。</w:t>
      </w:r>
    </w:p>
    <w:p w14:paraId="3A31E6A3">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第三十条【违反计量部门行政强制措施责任】</w:t>
      </w:r>
      <w:r>
        <w:rPr>
          <w:rFonts w:hint="default" w:ascii="Times New Roman" w:hAnsi="Times New Roman" w:eastAsia="仿宋" w:cs="Times New Roman"/>
          <w:color w:val="000000" w:themeColor="text1"/>
          <w:sz w:val="32"/>
          <w:szCs w:val="32"/>
          <w:highlight w:val="none"/>
          <w14:textFill>
            <w14:solidFill>
              <w14:schemeClr w14:val="tx1"/>
            </w14:solidFill>
          </w14:textFill>
        </w:rPr>
        <w:t>违反本办法规定，擅自隐匿、转移、处理、损毁被</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依法封存和扣押的物品及其他相关证据的，由</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计量行政部门</w:t>
      </w:r>
      <w:r>
        <w:rPr>
          <w:rFonts w:hint="default" w:ascii="Times New Roman" w:hAnsi="Times New Roman" w:eastAsia="仿宋" w:cs="Times New Roman"/>
          <w:color w:val="000000" w:themeColor="text1"/>
          <w:sz w:val="32"/>
          <w:szCs w:val="32"/>
          <w:highlight w:val="none"/>
          <w14:textFill>
            <w14:solidFill>
              <w14:schemeClr w14:val="tx1"/>
            </w14:solidFill>
          </w14:textFill>
        </w:rPr>
        <w:t>责令限期改正，可并处1万元以上3万元以下罚款。</w:t>
      </w:r>
    </w:p>
    <w:p w14:paraId="0B5E3D67">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第三十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一</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条【行政责任】</w:t>
      </w:r>
      <w:r>
        <w:rPr>
          <w:rFonts w:hint="default" w:ascii="Times New Roman" w:hAnsi="Times New Roman" w:eastAsia="仿宋" w:cs="Times New Roman"/>
          <w:color w:val="000000" w:themeColor="text1"/>
          <w:sz w:val="32"/>
          <w:szCs w:val="32"/>
          <w:highlight w:val="none"/>
          <w14:textFill>
            <w14:solidFill>
              <w14:schemeClr w14:val="tx1"/>
            </w14:solidFill>
          </w14:textFill>
        </w:rPr>
        <w:t>计量监督管理的国家工作人员玩忽职守、滥用职权、徇私舞弊，情节轻微的，由所在单位或者上级主管部门给予行政处分</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构成犯罪的，依法追究刑事责任。给当事人造成损失的，应当依法给予赔偿。</w:t>
      </w:r>
    </w:p>
    <w:p w14:paraId="68A72BFE">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339E55E2">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t>第七章 附 则</w:t>
      </w:r>
    </w:p>
    <w:p w14:paraId="3875B3C0">
      <w:pPr>
        <w:spacing w:line="560" w:lineRule="exact"/>
        <w:jc w:val="center"/>
        <w:rPr>
          <w:rFonts w:hint="default" w:ascii="Times New Roman" w:hAnsi="Times New Roman" w:eastAsia="方正黑体_GBK" w:cs="Times New Roman"/>
          <w:b/>
          <w:bCs/>
          <w:color w:val="000000" w:themeColor="text1"/>
          <w:sz w:val="32"/>
          <w:szCs w:val="32"/>
          <w:highlight w:val="none"/>
          <w14:textFill>
            <w14:solidFill>
              <w14:schemeClr w14:val="tx1"/>
            </w14:solidFill>
          </w14:textFill>
        </w:rPr>
      </w:pPr>
    </w:p>
    <w:p w14:paraId="133B124C">
      <w:pPr>
        <w:ind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第三十</w:t>
      </w:r>
      <w:r>
        <w:rPr>
          <w:rFonts w:hint="eastAsia" w:ascii="Times New Roman" w:hAnsi="Times New Roman" w:eastAsia="仿宋" w:cs="Times New Roman"/>
          <w:b/>
          <w:bCs/>
          <w:color w:val="000000" w:themeColor="text1"/>
          <w:sz w:val="32"/>
          <w:szCs w:val="32"/>
          <w:highlight w:val="none"/>
          <w:lang w:eastAsia="zh-CN"/>
          <w14:textFill>
            <w14:solidFill>
              <w14:schemeClr w14:val="tx1"/>
            </w14:solidFill>
          </w14:textFill>
        </w:rPr>
        <w:t>二</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条【施行日期】</w:t>
      </w:r>
      <w:r>
        <w:rPr>
          <w:rFonts w:hint="default" w:ascii="Times New Roman" w:hAnsi="Times New Roman" w:eastAsia="仿宋" w:cs="Times New Roman"/>
          <w:color w:val="000000" w:themeColor="text1"/>
          <w:sz w:val="32"/>
          <w:szCs w:val="32"/>
          <w:highlight w:val="none"/>
          <w14:textFill>
            <w14:solidFill>
              <w14:schemeClr w14:val="tx1"/>
            </w14:solidFill>
          </w14:textFill>
        </w:rPr>
        <w:t>本办法自 * 年 * 月 * 日起施行。</w:t>
      </w:r>
    </w:p>
    <w:sectPr>
      <w:pgSz w:w="11906" w:h="16838"/>
      <w:pgMar w:top="1814"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F712C6"/>
    <w:rsid w:val="001C058E"/>
    <w:rsid w:val="00325C6C"/>
    <w:rsid w:val="00416C47"/>
    <w:rsid w:val="00676879"/>
    <w:rsid w:val="007D0A34"/>
    <w:rsid w:val="00C07346"/>
    <w:rsid w:val="00C6725B"/>
    <w:rsid w:val="00D85E1C"/>
    <w:rsid w:val="00E30A72"/>
    <w:rsid w:val="0181011E"/>
    <w:rsid w:val="01D95E1A"/>
    <w:rsid w:val="02452131"/>
    <w:rsid w:val="04850756"/>
    <w:rsid w:val="049727D9"/>
    <w:rsid w:val="04E84DE3"/>
    <w:rsid w:val="04F6755D"/>
    <w:rsid w:val="05692586"/>
    <w:rsid w:val="056C69CF"/>
    <w:rsid w:val="057D1AFC"/>
    <w:rsid w:val="06263B63"/>
    <w:rsid w:val="06930D7E"/>
    <w:rsid w:val="07D9314B"/>
    <w:rsid w:val="07F01BF7"/>
    <w:rsid w:val="085207C5"/>
    <w:rsid w:val="09CF2703"/>
    <w:rsid w:val="0A2D4C39"/>
    <w:rsid w:val="0A513888"/>
    <w:rsid w:val="0A82499F"/>
    <w:rsid w:val="0ADB2CD2"/>
    <w:rsid w:val="0B5F17A9"/>
    <w:rsid w:val="0D3707E7"/>
    <w:rsid w:val="0D955A83"/>
    <w:rsid w:val="0DC2593A"/>
    <w:rsid w:val="101300A5"/>
    <w:rsid w:val="10AA31D3"/>
    <w:rsid w:val="10BE64B1"/>
    <w:rsid w:val="111832E8"/>
    <w:rsid w:val="11CB65BB"/>
    <w:rsid w:val="12134DCA"/>
    <w:rsid w:val="12EA54DC"/>
    <w:rsid w:val="138C1EE4"/>
    <w:rsid w:val="1472364D"/>
    <w:rsid w:val="183F2176"/>
    <w:rsid w:val="18B83714"/>
    <w:rsid w:val="18E0330A"/>
    <w:rsid w:val="18E46093"/>
    <w:rsid w:val="1B001DD6"/>
    <w:rsid w:val="1B617245"/>
    <w:rsid w:val="1BA000F4"/>
    <w:rsid w:val="1C575E97"/>
    <w:rsid w:val="1C5F7129"/>
    <w:rsid w:val="1CF5687F"/>
    <w:rsid w:val="1DA900F5"/>
    <w:rsid w:val="1DD51824"/>
    <w:rsid w:val="1DFE1EC3"/>
    <w:rsid w:val="1E5423B7"/>
    <w:rsid w:val="1E703F66"/>
    <w:rsid w:val="205C0E8A"/>
    <w:rsid w:val="20D3029D"/>
    <w:rsid w:val="212F3235"/>
    <w:rsid w:val="24B71044"/>
    <w:rsid w:val="25F25342"/>
    <w:rsid w:val="26307245"/>
    <w:rsid w:val="26412790"/>
    <w:rsid w:val="2662377F"/>
    <w:rsid w:val="267E3B00"/>
    <w:rsid w:val="28872370"/>
    <w:rsid w:val="28DC4BF4"/>
    <w:rsid w:val="292E5A75"/>
    <w:rsid w:val="293C4AD7"/>
    <w:rsid w:val="2A5C5A58"/>
    <w:rsid w:val="2A843F46"/>
    <w:rsid w:val="2AC96EBF"/>
    <w:rsid w:val="2B903046"/>
    <w:rsid w:val="2C1F4644"/>
    <w:rsid w:val="2D37707D"/>
    <w:rsid w:val="2D6E2C02"/>
    <w:rsid w:val="2DD7321A"/>
    <w:rsid w:val="2E6F24EF"/>
    <w:rsid w:val="2F0E5A28"/>
    <w:rsid w:val="2F6572F3"/>
    <w:rsid w:val="2FA16FE3"/>
    <w:rsid w:val="2FD07CB9"/>
    <w:rsid w:val="30CB2040"/>
    <w:rsid w:val="317B758B"/>
    <w:rsid w:val="31817666"/>
    <w:rsid w:val="31987F9C"/>
    <w:rsid w:val="327C3541"/>
    <w:rsid w:val="33B10831"/>
    <w:rsid w:val="33CF3353"/>
    <w:rsid w:val="33EE7627"/>
    <w:rsid w:val="341A1F2F"/>
    <w:rsid w:val="34283067"/>
    <w:rsid w:val="344C2250"/>
    <w:rsid w:val="345172E9"/>
    <w:rsid w:val="34DE56FD"/>
    <w:rsid w:val="350E2772"/>
    <w:rsid w:val="35524FDF"/>
    <w:rsid w:val="357A2C41"/>
    <w:rsid w:val="360A5C26"/>
    <w:rsid w:val="36BD75CE"/>
    <w:rsid w:val="37A33759"/>
    <w:rsid w:val="37F712C6"/>
    <w:rsid w:val="39214CD7"/>
    <w:rsid w:val="394F33F6"/>
    <w:rsid w:val="395B13A1"/>
    <w:rsid w:val="39A21B4E"/>
    <w:rsid w:val="39B6232E"/>
    <w:rsid w:val="3A6A181A"/>
    <w:rsid w:val="3A976298"/>
    <w:rsid w:val="3ABB6A50"/>
    <w:rsid w:val="3B3C613D"/>
    <w:rsid w:val="3BE7490C"/>
    <w:rsid w:val="3CDB31B2"/>
    <w:rsid w:val="3D2E5FAF"/>
    <w:rsid w:val="3DDC1293"/>
    <w:rsid w:val="3EC139D3"/>
    <w:rsid w:val="3F9B2476"/>
    <w:rsid w:val="4076155B"/>
    <w:rsid w:val="437E4B39"/>
    <w:rsid w:val="44202371"/>
    <w:rsid w:val="44475071"/>
    <w:rsid w:val="446419BF"/>
    <w:rsid w:val="44955EA3"/>
    <w:rsid w:val="44DB1E77"/>
    <w:rsid w:val="452B268D"/>
    <w:rsid w:val="459E05F2"/>
    <w:rsid w:val="46EE10DD"/>
    <w:rsid w:val="477C2B8D"/>
    <w:rsid w:val="479D3E81"/>
    <w:rsid w:val="485235E9"/>
    <w:rsid w:val="48B122FB"/>
    <w:rsid w:val="48CF053E"/>
    <w:rsid w:val="4AAD6203"/>
    <w:rsid w:val="4B0F349C"/>
    <w:rsid w:val="4BE212EE"/>
    <w:rsid w:val="4BEB779B"/>
    <w:rsid w:val="4C541ABF"/>
    <w:rsid w:val="4CA86612"/>
    <w:rsid w:val="4CAE4E71"/>
    <w:rsid w:val="4E0A20C3"/>
    <w:rsid w:val="4F9F17D1"/>
    <w:rsid w:val="50120070"/>
    <w:rsid w:val="5063306A"/>
    <w:rsid w:val="50746A1B"/>
    <w:rsid w:val="50DF42AE"/>
    <w:rsid w:val="50E821EF"/>
    <w:rsid w:val="518170E1"/>
    <w:rsid w:val="53AC4C6F"/>
    <w:rsid w:val="546C1613"/>
    <w:rsid w:val="55322ADD"/>
    <w:rsid w:val="575C2107"/>
    <w:rsid w:val="5A544645"/>
    <w:rsid w:val="5ACC1A80"/>
    <w:rsid w:val="5B1F7C60"/>
    <w:rsid w:val="5C3D63E1"/>
    <w:rsid w:val="5C6E6361"/>
    <w:rsid w:val="5D204B61"/>
    <w:rsid w:val="5DCF1811"/>
    <w:rsid w:val="5E873C10"/>
    <w:rsid w:val="5E9332D8"/>
    <w:rsid w:val="5EE65064"/>
    <w:rsid w:val="5F06000A"/>
    <w:rsid w:val="5F3F4700"/>
    <w:rsid w:val="603F4AA9"/>
    <w:rsid w:val="60CF1B28"/>
    <w:rsid w:val="617A47AE"/>
    <w:rsid w:val="631053D5"/>
    <w:rsid w:val="638D0A0B"/>
    <w:rsid w:val="63D20EE7"/>
    <w:rsid w:val="642F5D65"/>
    <w:rsid w:val="6666235B"/>
    <w:rsid w:val="66F70A55"/>
    <w:rsid w:val="68187DB3"/>
    <w:rsid w:val="691E250D"/>
    <w:rsid w:val="69441B33"/>
    <w:rsid w:val="69C274C7"/>
    <w:rsid w:val="69E2514F"/>
    <w:rsid w:val="69EB543D"/>
    <w:rsid w:val="6BD2010F"/>
    <w:rsid w:val="6BFD579B"/>
    <w:rsid w:val="6CA81BAB"/>
    <w:rsid w:val="6D46014F"/>
    <w:rsid w:val="6D7D34C9"/>
    <w:rsid w:val="6E5F380F"/>
    <w:rsid w:val="6F2649D0"/>
    <w:rsid w:val="6F405FB2"/>
    <w:rsid w:val="70925DE7"/>
    <w:rsid w:val="70E730A5"/>
    <w:rsid w:val="711F4430"/>
    <w:rsid w:val="712F3172"/>
    <w:rsid w:val="71633594"/>
    <w:rsid w:val="71F13045"/>
    <w:rsid w:val="728A78DC"/>
    <w:rsid w:val="73FC161C"/>
    <w:rsid w:val="74C245D5"/>
    <w:rsid w:val="76DB3C74"/>
    <w:rsid w:val="77324C1E"/>
    <w:rsid w:val="777B74D7"/>
    <w:rsid w:val="79363CE2"/>
    <w:rsid w:val="79C9092F"/>
    <w:rsid w:val="7AEE5994"/>
    <w:rsid w:val="7F111F11"/>
    <w:rsid w:val="7FF75AFE"/>
    <w:rsid w:val="7FFC1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paragraph" w:customStyle="1" w:styleId="9">
    <w:name w:val="列出段落1"/>
    <w:basedOn w:val="1"/>
    <w:qFormat/>
    <w:uiPriority w:val="99"/>
    <w:pPr>
      <w:ind w:firstLine="420" w:firstLineChars="200"/>
    </w:pPr>
    <w:rPr>
      <w:rFonts w:ascii="Calibri" w:hAnsi="Calibri"/>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04b23b53-a996-4b30-8745-37328a14dfb1</errorID>
      <errorWord>中华人民共和国</errorWord>
      <group>L1_Sensitive</group>
      <groupName>敏感问题</groupName>
      <ability>L2_UserSensitive</ability>
      <abilityName>自定义敏感词</abilityName>
      <candidateList/>
      <explain>来自自定义敏感词库。</explain>
      <paraID>5B9CF26F</paraID>
      <start>75</start>
      <end>82</end>
      <status>ignored</status>
      <modifiedWord/>
      <trackRevisions>false</trackRevisions>
    </reviewItem>
    <reviewItem>
      <errorID>a919f8fe-3d97-4d10-b1cf-5322fba691b9</errorID>
      <errorWord>中华人民共和国</errorWord>
      <group>L1_Sensitive</group>
      <groupName>敏感问题</groupName>
      <ability>L2_UserSensitive</ability>
      <abilityName>自定义敏感词</abilityName>
      <candidateList/>
      <explain>来自自定义敏感词库。</explain>
      <paraID>5B9CF26F</paraID>
      <start>87</start>
      <end>94</end>
      <status>ignored</status>
      <modifiedWord/>
      <trackRevisions>false</trackRevisions>
    </reviewItem>
    <reviewItem>
      <errorID>b68c6fad-4441-4a53-8fe5-9a12dd85aaba</errorID>
      <errorWord>法律、法规，结合</errorWord>
      <group>L1_Word</group>
      <groupName>字词问题</groupName>
      <ability>L2_Typo</ability>
      <abilityName>字词错误</abilityName>
      <candidateList>
        <item>法律法规，结合</item>
      </candidateList>
      <explain/>
      <paraID>5B9CF26F</paraID>
      <start>118</start>
      <end>126</end>
      <status>ignored</status>
      <modifiedWord/>
      <trackRevisions>false</trackRevisions>
    </reviewItem>
    <reviewItem>
      <errorID>f79bb32d-06df-471b-a5f2-136ee8561d26</errorID>
      <errorWord>法律、法规</errorWord>
      <group>L1_Word</group>
      <groupName>字词问题</groupName>
      <ability>L2_Typo</ability>
      <abilityName>字词错误</abilityName>
      <candidateList>
        <item>法律法规</item>
      </candidateList>
      <explain/>
      <paraID> 109AD1A</paraID>
      <start>69</start>
      <end>74</end>
      <status>ignored</status>
      <modifiedWord/>
      <trackRevisions>false</trackRevisions>
    </reviewItem>
    <reviewItem>
      <errorID>4c300a32-7e92-4c1b-a21f-cd8a4737e8da</errorID>
      <errorWord>，</errorWord>
      <group>L1_Punc</group>
      <groupName>标点问题</groupName>
      <ability>L2_Punc_CN</ability>
      <abilityName>标点符号问题</abilityName>
      <candidateList>
        <item>。</item>
      </candidateList>
      <explain/>
      <paraID>4F99EFA0</paraID>
      <start>88</start>
      <end>89</end>
      <status>ignored</status>
      <modifiedWord/>
      <trackRevisions>false</trackRevisions>
    </reviewItem>
    <reviewItem>
      <errorID>990ed829-6812-4b89-94b8-63745027c66c</errorID>
      <errorWord>做出</errorWord>
      <group>L1_Word</group>
      <groupName>字词问题</groupName>
      <ability>L2_Typo</ability>
      <abilityName>字词错误</abilityName>
      <candidateList>
        <item>作出</item>
      </candidateList>
      <explain/>
      <paraID>5EBB7D92</paraID>
      <start>114</start>
      <end>116</end>
      <status>modified</status>
      <modifiedWord>作出</modifiedWord>
      <trackRevisions>false</trackRevisions>
    </reviewItem>
    <reviewItem>
      <errorID>6019a11b-d8ab-45cc-ba50-d9ea7172121b</errorID>
      <errorWord>检定</errorWord>
      <group>L1_Word</group>
      <groupName>字词问题</groupName>
      <ability>L2_Typo</ability>
      <abilityName>字词错误</abilityName>
      <candidateList>
        <item>鉴定</item>
      </candidateList>
      <explain/>
      <paraID>48A2EB2D</paraID>
      <start>23</start>
      <end>25</end>
      <status>ignored</status>
      <modifiedWord/>
      <trackRevisions>false</trackRevisions>
    </reviewItem>
    <reviewItem>
      <errorID>d3092b34-72c6-43ae-9795-2e1b743c25bb</errorID>
      <errorWord>法律、法规</errorWord>
      <group>L1_Word</group>
      <groupName>字词问题</groupName>
      <ability>L2_Typo</ability>
      <abilityName>字词错误</abilityName>
      <candidateList>
        <item>法律法规</item>
      </candidateList>
      <explain/>
      <paraID>1CC116C4</paraID>
      <start>22</start>
      <end>27</end>
      <status>ignored</status>
      <modifiedWord/>
      <trackRevisions>false</trackRevisions>
    </reviewItem>
    <reviewItem>
      <errorID>02045a1b-830a-4d67-9e39-9b4386e41b80</errorID>
      <errorWord>法律、法规</errorWord>
      <group>L1_Word</group>
      <groupName>字词问题</groupName>
      <ability>L2_Typo</ability>
      <abilityName>字词错误</abilityName>
      <candidateList>
        <item>法律法规</item>
      </candidateList>
      <explain/>
      <paraID>1DBF2C27</paraID>
      <start>3</start>
      <end>8</end>
      <status>ignored</status>
      <modifiedWord/>
      <trackRevisions>false</trackRevisions>
    </reviewItem>
    <reviewItem>
      <errorID>e5c8fd1e-88e5-4b32-85f2-9771b8687137</errorID>
      <errorWord>法律、法规</errorWord>
      <group>L1_Word</group>
      <groupName>字词问题</groupName>
      <ability>L2_Typo</ability>
      <abilityName>字词错误</abilityName>
      <candidateList>
        <item>法律法规</item>
      </candidateList>
      <explain/>
      <paraID>184EAE1E</paraID>
      <start>3</start>
      <end>8</end>
      <status>ignored</status>
      <modifiedWord/>
      <trackRevisions>false</trackRevisions>
    </reviewItem>
    <reviewItem>
      <errorID>21287e02-48ef-4e3c-ba0c-2b7dc1dbef19</errorID>
      <errorWord>法律、法规</errorWord>
      <group>L1_Word</group>
      <groupName>字词问题</groupName>
      <ability>L2_Typo</ability>
      <abilityName>字词错误</abilityName>
      <candidateList>
        <item>法律法规</item>
      </candidateList>
      <explain/>
      <paraID> 22B5B2D</paraID>
      <start>3</start>
      <end>8</end>
      <status>ignored</status>
      <modifiedWord/>
      <trackRevisions>false</trackRevisions>
    </reviewItem>
  </reviewItems>
  <config/>
</contractReview>
</file>

<file path=customXml/itemProps1.xml><?xml version="1.0" encoding="utf-8"?>
<ds:datastoreItem xmlns:ds="http://schemas.openxmlformats.org/officeDocument/2006/customXml" ds:itemID="{9ea50183-9e12-4fb6-a760-6d301ec83b2f}">
  <ds:schemaRefs/>
</ds:datastoreItem>
</file>

<file path=docProps/app.xml><?xml version="1.0" encoding="utf-8"?>
<Properties xmlns="http://schemas.openxmlformats.org/officeDocument/2006/extended-properties" xmlns:vt="http://schemas.openxmlformats.org/officeDocument/2006/docPropsVTypes">
  <Template>Normal</Template>
  <Pages>11</Pages>
  <Words>4692</Words>
  <Characters>4719</Characters>
  <Lines>40</Lines>
  <Paragraphs>11</Paragraphs>
  <TotalTime>3</TotalTime>
  <ScaleCrop>false</ScaleCrop>
  <LinksUpToDate>false</LinksUpToDate>
  <CharactersWithSpaces>4738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2026-08-16T01:42:00Z</dcterms:created>
  <dc:creator>清风徐来</dc:creator>
  <cp:lastModifiedBy>hawk</cp:lastModifiedBy>
  <dcterms:modified xsi:type="dcterms:W3CDTF">2026-08-27T08:48:54Z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3E04C7FE27DC4AC2977D2B5884C20D55_13</vt:lpwstr>
  </property>
  <property fmtid="{D5CDD505-2E9C-101B-9397-08002B2CF9AE}" pid="4" name="KSOTemplateDocerSaveRecord">
    <vt:lpwstr>eyJoZGlkIjoiNmNmZjZiYWRkYzk0NWM4NDQ0YTVjNTExODIzOGIyZDYiLCJ1c2VySWQiOiI1MzU0NDk1MzkifQ==</vt:lpwstr>
  </property>
</Properties>
</file>